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0ACCF07D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B6691" w:rsidRDefault="007B6691"/>
    <w:p w14:paraId="2BDDE1CC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09A8D62A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5DAB6C7B" w14:textId="77777777" w:rsidR="007B6691" w:rsidRDefault="007B6691" w:rsidP="007B6691">
      <w:pPr>
        <w:jc w:val="center"/>
        <w:rPr>
          <w:b/>
        </w:rPr>
      </w:pPr>
    </w:p>
    <w:p w14:paraId="78FE95BF" w14:textId="6D257A7D" w:rsidR="00B7282C" w:rsidRPr="00115183" w:rsidRDefault="00B7282C" w:rsidP="00115183">
      <w:pPr>
        <w:pStyle w:val="Heading2"/>
      </w:pPr>
      <w:r w:rsidRPr="00115183">
        <w:t>Procedure</w:t>
      </w:r>
      <w:r w:rsidR="007B6691" w:rsidRPr="00115183">
        <w:t xml:space="preserve"> </w:t>
      </w:r>
      <w:r w:rsidR="4C650903" w:rsidRPr="00115183">
        <w:t>903.01</w:t>
      </w:r>
      <w:r w:rsidR="006F1627" w:rsidRPr="00115183">
        <w:t xml:space="preserve">:  </w:t>
      </w:r>
      <w:r w:rsidR="0E4F85C1" w:rsidRPr="00115183">
        <w:t>Accountability Plan for Economic and Workforce Development/Continuing Education</w:t>
      </w:r>
    </w:p>
    <w:tbl>
      <w:tblPr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90"/>
        <w:gridCol w:w="9270"/>
        <w:gridCol w:w="90"/>
      </w:tblGrid>
      <w:tr w:rsidR="75DB6E09" w14:paraId="5CCF6A23" w14:textId="77777777" w:rsidTr="00CD4A16">
        <w:trPr>
          <w:gridAfter w:val="1"/>
          <w:wAfter w:w="90" w:type="dxa"/>
        </w:trPr>
        <w:tc>
          <w:tcPr>
            <w:tcW w:w="9360" w:type="dxa"/>
            <w:gridSpan w:val="2"/>
          </w:tcPr>
          <w:p w14:paraId="733460BF" w14:textId="4E219E79" w:rsidR="0B2D7F19" w:rsidRDefault="0B2D7F19" w:rsidP="75DB6E09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DB6E09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75DB6E09" w:rsidRPr="75DB6E09">
              <w:rPr>
                <w:rFonts w:ascii="Calibri" w:eastAsia="Calibri" w:hAnsi="Calibri" w:cs="Calibri"/>
                <w:sz w:val="24"/>
                <w:szCs w:val="24"/>
              </w:rPr>
              <w:t>sheville Buncombe Technical Community College (A-B Tech) publishes, maintains, and uses an Accountability Plan in accordance with the State Board of Community College Code (SBCCC) 1D-300.4(a)</w:t>
            </w:r>
            <w:r w:rsidR="00CD4A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75DB6E09"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– Continuing Education Program Management. </w:t>
            </w:r>
            <w:r w:rsidR="00CD4A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75DB6E09" w:rsidRPr="75DB6E09">
              <w:rPr>
                <w:rFonts w:ascii="Calibri" w:eastAsia="Calibri" w:hAnsi="Calibri" w:cs="Calibri"/>
                <w:sz w:val="24"/>
                <w:szCs w:val="24"/>
              </w:rPr>
              <w:t>In order to comply with the requirements of the North Carolina State Board of Community Colleges and to ensure that all Continuing Education classes are valid, credible, and accurately reported, A-B Tech will achieve the goals and objectives as outlined in this Accountability Plan.</w:t>
            </w:r>
          </w:p>
          <w:p w14:paraId="2F429C56" w14:textId="312CC4ED" w:rsidR="75DB6E09" w:rsidRPr="00115183" w:rsidRDefault="75DB6E09" w:rsidP="00115183">
            <w:pPr>
              <w:pStyle w:val="Heading2"/>
            </w:pPr>
            <w:r w:rsidRPr="00115183">
              <w:t xml:space="preserve">Introduction: </w:t>
            </w:r>
            <w:r w:rsidR="33B025ED" w:rsidRPr="00115183">
              <w:t xml:space="preserve"> </w:t>
            </w:r>
            <w:r w:rsidRPr="00115183">
              <w:t>Accountability Planning for Economic &amp; Workforce Development / Continuing Education</w:t>
            </w:r>
          </w:p>
          <w:p w14:paraId="7DF3C242" w14:textId="0DF64BFB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Accountability within the NC Community College Workforce Continuing Education areas encompasses a broad range of concepts including governance, institutional values, programs, industry sectors, and community partners. </w:t>
            </w:r>
            <w:r w:rsidR="00CD4A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NC Community Colleges are mandated through the State Board of Community College Code (1B SBCCC 400.98, ID SBCCC 300.4) to review the programs provided to ensure occupational training is </w:t>
            </w:r>
            <w:r w:rsidRPr="75DB6E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relevant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 to the workforce, </w:t>
            </w:r>
            <w:r w:rsidRPr="75DB6E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responsive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 to training needs, and </w:t>
            </w:r>
            <w:r w:rsidRPr="75DB6E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responsible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 for use of state resources. </w:t>
            </w:r>
            <w:r w:rsidR="00CD4A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>In addition to SBCCC requirements, colleges are responsible to a number of external agencies to document programs and processes including state and national credentialing agencies, local government, grant providers, and others.</w:t>
            </w:r>
          </w:p>
          <w:p w14:paraId="3173BE5C" w14:textId="5538BA3F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DB6E09">
              <w:rPr>
                <w:rFonts w:ascii="Calibri" w:eastAsia="Calibri" w:hAnsi="Calibri" w:cs="Calibri"/>
                <w:sz w:val="24"/>
                <w:szCs w:val="24"/>
              </w:rPr>
              <w:t>The Accountability Plan has been adopted based on a state-wide accountability model in which all NC community colleges provided input and representation.</w:t>
            </w:r>
            <w:r w:rsidR="00CD4A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 This local plan will be monitored and reviewed by an internal continuing education team and reviewed for approval every three (3) years by the Board of Trustees. </w:t>
            </w:r>
            <w:r w:rsidR="00CD4A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75DB6E0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This plan replaces the division’s former internal audit plan. </w:t>
            </w:r>
            <w:r w:rsidR="00CD4A16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>The document supports accountability as it takes into account internal control processes and best business practices while demonstrating compliance measures for state budget reporting.</w:t>
            </w:r>
            <w:r w:rsidR="00CD4A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 The accountability framework provided in this plan encompasses three primary areas:</w:t>
            </w:r>
          </w:p>
          <w:p w14:paraId="3A9A37B6" w14:textId="32B1AF56" w:rsidR="75DB6E09" w:rsidRDefault="75DB6E09" w:rsidP="75DB6E09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Theme="minorEastAsia"/>
                <w:sz w:val="24"/>
                <w:szCs w:val="24"/>
              </w:rPr>
            </w:pPr>
            <w:r w:rsidRPr="75DB6E09">
              <w:rPr>
                <w:sz w:val="24"/>
                <w:szCs w:val="24"/>
              </w:rPr>
              <w:lastRenderedPageBreak/>
              <w:t>Governance Priorities</w:t>
            </w:r>
          </w:p>
          <w:p w14:paraId="36861840" w14:textId="4D3C2855" w:rsidR="75DB6E09" w:rsidRDefault="75DB6E09" w:rsidP="75DB6E09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Theme="minorEastAsia"/>
                <w:sz w:val="24"/>
                <w:szCs w:val="24"/>
              </w:rPr>
            </w:pPr>
            <w:r w:rsidRPr="75DB6E09">
              <w:rPr>
                <w:sz w:val="24"/>
                <w:szCs w:val="24"/>
              </w:rPr>
              <w:t>Academic Integrity/Program Accountability</w:t>
            </w:r>
          </w:p>
          <w:p w14:paraId="2CB9FD14" w14:textId="38B1FF1E" w:rsidR="75DB6E09" w:rsidRDefault="75DB6E09" w:rsidP="75DB6E09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Theme="minorEastAsia"/>
                <w:sz w:val="24"/>
                <w:szCs w:val="24"/>
              </w:rPr>
            </w:pPr>
            <w:r w:rsidRPr="75DB6E09">
              <w:rPr>
                <w:sz w:val="24"/>
                <w:szCs w:val="24"/>
              </w:rPr>
              <w:t>Market Forces</w:t>
            </w:r>
          </w:p>
          <w:p w14:paraId="263BC039" w14:textId="784DF10D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DB6E09">
              <w:rPr>
                <w:rFonts w:ascii="Calibri" w:eastAsia="Calibri" w:hAnsi="Calibri" w:cs="Calibri"/>
                <w:sz w:val="24"/>
                <w:szCs w:val="24"/>
              </w:rPr>
              <w:t>Importantly, the plan reflects the College’s ongoing effort to:</w:t>
            </w:r>
          </w:p>
          <w:p w14:paraId="094AAA11" w14:textId="730C6BBD" w:rsidR="75DB6E09" w:rsidRDefault="75DB6E09" w:rsidP="75DB6E0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eastAsiaTheme="minorEastAsia"/>
                <w:sz w:val="24"/>
                <w:szCs w:val="24"/>
              </w:rPr>
            </w:pPr>
            <w:r w:rsidRPr="75DB6E09">
              <w:rPr>
                <w:sz w:val="24"/>
                <w:szCs w:val="24"/>
              </w:rPr>
              <w:t>Review programs for relevance, rigor, and quality</w:t>
            </w:r>
          </w:p>
          <w:p w14:paraId="3E970EBC" w14:textId="4F07A90E" w:rsidR="75DB6E09" w:rsidRDefault="75DB6E09" w:rsidP="75DB6E0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eastAsiaTheme="minorEastAsia"/>
                <w:sz w:val="24"/>
                <w:szCs w:val="24"/>
              </w:rPr>
            </w:pPr>
            <w:r w:rsidRPr="75DB6E09">
              <w:rPr>
                <w:sz w:val="24"/>
                <w:szCs w:val="24"/>
              </w:rPr>
              <w:t>Develop goals for growth and sustainability</w:t>
            </w:r>
          </w:p>
          <w:p w14:paraId="5BED9B0C" w14:textId="2F8A7AF9" w:rsidR="75DB6E09" w:rsidRDefault="75DB6E09" w:rsidP="75DB6E0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eastAsiaTheme="minorEastAsia"/>
                <w:sz w:val="24"/>
                <w:szCs w:val="24"/>
              </w:rPr>
            </w:pPr>
            <w:r w:rsidRPr="75DB6E09">
              <w:rPr>
                <w:sz w:val="24"/>
                <w:szCs w:val="24"/>
              </w:rPr>
              <w:t>Ensure state budget compliance</w:t>
            </w:r>
          </w:p>
          <w:p w14:paraId="63E7AE52" w14:textId="5083A5B0" w:rsidR="75DB6E09" w:rsidRDefault="75DB6E09" w:rsidP="75DB6E0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eastAsiaTheme="minorEastAsia"/>
                <w:sz w:val="24"/>
                <w:szCs w:val="24"/>
              </w:rPr>
            </w:pPr>
            <w:r w:rsidRPr="75DB6E09">
              <w:rPr>
                <w:sz w:val="24"/>
                <w:szCs w:val="24"/>
              </w:rPr>
              <w:t>Respond to demands to align programs with a broad array of governing requirements and industry needs</w:t>
            </w:r>
          </w:p>
          <w:p w14:paraId="37999D1B" w14:textId="03F3B732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DB6E09">
              <w:rPr>
                <w:rFonts w:ascii="Calibri" w:eastAsia="Calibri" w:hAnsi="Calibri" w:cs="Calibri"/>
                <w:sz w:val="24"/>
                <w:szCs w:val="24"/>
              </w:rPr>
              <w:t>For each area, goals and objectives are outlined that support the mission of both the NC Community College System and A-B Tech Community College to foster student success through the delivery of high-quality workforce training programs.</w:t>
            </w:r>
          </w:p>
          <w:p w14:paraId="51EC1559" w14:textId="60E6EE7A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Accountability Plan - Goals and Objectives </w:t>
            </w:r>
          </w:p>
          <w:p w14:paraId="10C6EF95" w14:textId="5B20FF22" w:rsidR="75DB6E09" w:rsidRDefault="75DB6E09" w:rsidP="00115183">
            <w:pPr>
              <w:pStyle w:val="Heading2"/>
              <w:rPr>
                <w:rFonts w:eastAsia="Calibri"/>
              </w:rPr>
            </w:pPr>
            <w:r w:rsidRPr="75DB6E09">
              <w:rPr>
                <w:rFonts w:eastAsia="Calibri"/>
              </w:rPr>
              <w:t>Governance Priorities</w:t>
            </w:r>
          </w:p>
          <w:p w14:paraId="659A78F1" w14:textId="0C18655B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115183">
              <w:rPr>
                <w:rStyle w:val="Heading3Char"/>
              </w:rPr>
              <w:t xml:space="preserve">Goal 1: </w:t>
            </w:r>
            <w:r w:rsidR="009A5630">
              <w:rPr>
                <w:rStyle w:val="Heading3Char"/>
              </w:rPr>
              <w:t xml:space="preserve"> </w:t>
            </w:r>
            <w:r w:rsidRPr="00115183">
              <w:rPr>
                <w:rStyle w:val="Heading3Char"/>
              </w:rPr>
              <w:t>Demonstrate accountability and credibility of operational functions.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1518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75DB6E0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The responsibility of ensuring division operations are efficient in terms of resources and effective in terms of meeting requirements.</w:t>
            </w:r>
          </w:p>
          <w:p w14:paraId="512AF844" w14:textId="2DD79427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A5630">
              <w:rPr>
                <w:rStyle w:val="Heading4Char"/>
              </w:rPr>
              <w:t>Objective 1:</w:t>
            </w:r>
            <w:r w:rsidR="009A5630">
              <w:rPr>
                <w:rStyle w:val="Heading4Char"/>
              </w:rPr>
              <w:t xml:space="preserve"> 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 Identify and establish authority for roles and functions responsible for operations, program development, documentation procedures, and fiscal management. </w:t>
            </w:r>
          </w:p>
          <w:p w14:paraId="6FE1DBD1" w14:textId="428C3848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115183">
              <w:rPr>
                <w:rStyle w:val="Heading3Char"/>
              </w:rPr>
              <w:t xml:space="preserve">Goal 2: </w:t>
            </w:r>
            <w:r w:rsidR="009A5630">
              <w:rPr>
                <w:rStyle w:val="Heading3Char"/>
              </w:rPr>
              <w:t xml:space="preserve"> </w:t>
            </w:r>
            <w:r w:rsidRPr="00115183">
              <w:rPr>
                <w:rStyle w:val="Heading3Char"/>
              </w:rPr>
              <w:t xml:space="preserve">Demonstrate operational accountability for data reported to the state for funding. </w:t>
            </w:r>
            <w:r w:rsidR="009A5630">
              <w:rPr>
                <w:rStyle w:val="Heading3Char"/>
              </w:rPr>
              <w:t xml:space="preserve"> </w:t>
            </w:r>
            <w:r w:rsidRPr="75DB6E0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The responsibility of meeting NC General Statues and NC State Board of Community College Code relevant to hours reported for state budget resources. </w:t>
            </w:r>
          </w:p>
          <w:p w14:paraId="7C08A669" w14:textId="2515B23D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5183">
              <w:rPr>
                <w:rStyle w:val="Heading4Char"/>
              </w:rPr>
              <w:t xml:space="preserve">Objective 1: 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>Respond effectively to issues, both material and non-material, identified in biennial review of records.</w:t>
            </w:r>
          </w:p>
          <w:p w14:paraId="7F39AD2B" w14:textId="2A4C4794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115183">
              <w:rPr>
                <w:rStyle w:val="Heading4Char"/>
              </w:rPr>
              <w:t xml:space="preserve">Objective 2: 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Conduct class visits for continuing education courses as outlined in the </w:t>
            </w:r>
            <w:r w:rsidRPr="75DB6E0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Class Visitation Procedure. </w:t>
            </w:r>
          </w:p>
          <w:p w14:paraId="16D66D84" w14:textId="299F731E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115183">
              <w:rPr>
                <w:rStyle w:val="Heading3Char"/>
              </w:rPr>
              <w:t xml:space="preserve">Goal 3: Demonstrate accountability to performance aligned with state and federal agencies. </w:t>
            </w:r>
            <w:r w:rsidR="009A5630">
              <w:rPr>
                <w:rStyle w:val="Heading3Char"/>
              </w:rPr>
              <w:t xml:space="preserve"> </w:t>
            </w:r>
            <w:r w:rsidRPr="75DB6E0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The responsibility of meeting performance benchmarks as defined by state or federal agencies.</w:t>
            </w:r>
          </w:p>
          <w:p w14:paraId="006AD693" w14:textId="2FF8FDAA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5183">
              <w:rPr>
                <w:rStyle w:val="Heading4Char"/>
              </w:rPr>
              <w:t xml:space="preserve">Objective 1: 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>Develop written processes for course standards aligned with System Office best practices.</w:t>
            </w:r>
          </w:p>
          <w:p w14:paraId="518FF7AC" w14:textId="74C731CC" w:rsidR="75DB6E09" w:rsidRDefault="75DB6E09" w:rsidP="00115183">
            <w:pPr>
              <w:pStyle w:val="Heading2"/>
              <w:rPr>
                <w:rFonts w:eastAsia="Calibri"/>
              </w:rPr>
            </w:pPr>
            <w:r w:rsidRPr="75DB6E09">
              <w:rPr>
                <w:rFonts w:eastAsia="Calibri"/>
              </w:rPr>
              <w:t>Academic Interests</w:t>
            </w:r>
          </w:p>
          <w:p w14:paraId="3C7F2384" w14:textId="5762EEAB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115183">
              <w:rPr>
                <w:rStyle w:val="Heading3Char"/>
              </w:rPr>
              <w:t xml:space="preserve">Goal 1: </w:t>
            </w:r>
            <w:r w:rsidR="009A5630">
              <w:rPr>
                <w:rStyle w:val="Heading3Char"/>
              </w:rPr>
              <w:t xml:space="preserve"> </w:t>
            </w:r>
            <w:r w:rsidRPr="00115183">
              <w:rPr>
                <w:rStyle w:val="Heading3Char"/>
              </w:rPr>
              <w:t xml:space="preserve">Students will meet specific course criteria to attain relevant licenses/credentials or demonstrate course completion requirements. </w:t>
            </w:r>
            <w:r w:rsidR="009A5630">
              <w:rPr>
                <w:rStyle w:val="Heading3Char"/>
              </w:rPr>
              <w:t xml:space="preserve"> </w:t>
            </w:r>
            <w:r w:rsidRPr="75DB6E0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Responsibility to align and demonstrate student learning outcomes as defined in college documents to actual student learning culminating in demonstration of competency and/or attainment of licensure or credential. </w:t>
            </w:r>
          </w:p>
          <w:p w14:paraId="08BE0610" w14:textId="104DB58B" w:rsidR="75DB6E09" w:rsidRDefault="75DB6E09" w:rsidP="009A5630">
            <w:pPr>
              <w:spacing w:before="120" w:after="120" w:line="240" w:lineRule="auto"/>
              <w:ind w:hanging="21"/>
              <w:rPr>
                <w:rFonts w:ascii="Calibri" w:eastAsia="Calibri" w:hAnsi="Calibri" w:cs="Calibri"/>
                <w:sz w:val="24"/>
                <w:szCs w:val="24"/>
              </w:rPr>
            </w:pPr>
            <w:r w:rsidRPr="00115183">
              <w:rPr>
                <w:rStyle w:val="Heading4Char"/>
              </w:rPr>
              <w:t>Objective 1: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 Students will successfully demonstrate skills required within the course syllabus.</w:t>
            </w:r>
          </w:p>
          <w:p w14:paraId="54B38D22" w14:textId="510D09D4" w:rsidR="75DB6E09" w:rsidRDefault="75DB6E09" w:rsidP="75DB6E09">
            <w:pPr>
              <w:spacing w:before="120" w:after="120" w:line="240" w:lineRule="auto"/>
              <w:ind w:firstLine="720"/>
              <w:rPr>
                <w:rFonts w:ascii="Calibri" w:eastAsia="Calibri" w:hAnsi="Calibri" w:cs="Calibri"/>
                <w:sz w:val="24"/>
                <w:szCs w:val="24"/>
              </w:rPr>
            </w:pPr>
            <w:r w:rsidRPr="00115183">
              <w:rPr>
                <w:rStyle w:val="Heading4Char"/>
              </w:rPr>
              <w:lastRenderedPageBreak/>
              <w:t>Objective 2: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 Students will successfully attain industry credentials/licensure.</w:t>
            </w:r>
          </w:p>
          <w:p w14:paraId="4AD25C0A" w14:textId="6642989F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115183">
              <w:rPr>
                <w:rStyle w:val="Heading3Char"/>
              </w:rPr>
              <w:t xml:space="preserve">Goal 2: Instructional programs will demonstrate relevance, rigor, viability, and student success. </w:t>
            </w:r>
            <w:r w:rsidR="009A5630">
              <w:rPr>
                <w:rStyle w:val="Heading3Char"/>
              </w:rPr>
              <w:t xml:space="preserve"> </w:t>
            </w:r>
            <w:r w:rsidRPr="75DB6E0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Responsibility to provide quality training that is relevant to student learning and workforce needs.</w:t>
            </w:r>
          </w:p>
          <w:p w14:paraId="17CEB055" w14:textId="24D5BAEB" w:rsidR="75DB6E09" w:rsidRDefault="75DB6E09" w:rsidP="75DB6E09">
            <w:pPr>
              <w:spacing w:before="120" w:after="120" w:line="240" w:lineRule="auto"/>
              <w:ind w:firstLine="720"/>
              <w:rPr>
                <w:rFonts w:ascii="Calibri" w:eastAsia="Calibri" w:hAnsi="Calibri" w:cs="Calibri"/>
                <w:sz w:val="24"/>
                <w:szCs w:val="24"/>
              </w:rPr>
            </w:pPr>
            <w:r w:rsidRPr="00115183">
              <w:rPr>
                <w:rStyle w:val="Heading4Char"/>
              </w:rPr>
              <w:t xml:space="preserve">Objective 1: 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>Align program outcomes to student workforce success</w:t>
            </w:r>
          </w:p>
          <w:p w14:paraId="6C8B26BE" w14:textId="2F25DEB5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115183">
              <w:rPr>
                <w:rStyle w:val="Heading3Char"/>
              </w:rPr>
              <w:t xml:space="preserve">Goal 3: Faculty qualifications will support program relevancy and student success. </w:t>
            </w:r>
            <w:r w:rsidRPr="75DB6E0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Responsibility to ensure that faculty are appropriately qualified (experience, credentials, licensure, etc.) to deliver relevant, quality training. </w:t>
            </w:r>
          </w:p>
          <w:p w14:paraId="3BEEC45C" w14:textId="1605C2CD" w:rsidR="75DB6E09" w:rsidRDefault="75DB6E09" w:rsidP="75DB6E09">
            <w:pPr>
              <w:spacing w:before="120" w:after="120" w:line="240" w:lineRule="auto"/>
              <w:ind w:firstLine="720"/>
              <w:rPr>
                <w:rFonts w:ascii="Calibri" w:eastAsia="Calibri" w:hAnsi="Calibri" w:cs="Calibri"/>
                <w:sz w:val="24"/>
                <w:szCs w:val="24"/>
              </w:rPr>
            </w:pPr>
            <w:r w:rsidRPr="00115183">
              <w:rPr>
                <w:rStyle w:val="Heading4Char"/>
              </w:rPr>
              <w:t xml:space="preserve">Objective 1: 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>Faculty will hold appropriate qualifications for credential programs.</w:t>
            </w:r>
          </w:p>
          <w:p w14:paraId="42FF51C5" w14:textId="020ECA8E" w:rsidR="75DB6E09" w:rsidRDefault="75DB6E09" w:rsidP="00115183">
            <w:pPr>
              <w:pStyle w:val="Heading2"/>
              <w:rPr>
                <w:rFonts w:eastAsia="Calibri"/>
              </w:rPr>
            </w:pPr>
            <w:r w:rsidRPr="75DB6E09">
              <w:rPr>
                <w:rFonts w:eastAsia="Calibri"/>
              </w:rPr>
              <w:t>Market Forces</w:t>
            </w:r>
          </w:p>
          <w:p w14:paraId="0772A01C" w14:textId="16AE5651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115183">
              <w:rPr>
                <w:rStyle w:val="Heading3Char"/>
              </w:rPr>
              <w:t xml:space="preserve">Goal 1: Demonstrate development or enhancement of connections with workforce and economic development entities to leverage resources and strengths. </w:t>
            </w:r>
            <w:r w:rsidRPr="75DB6E0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Responsibility to ensure that education/workforce partners collaborate to identify strategic solutions for current and future workforce needs. </w:t>
            </w:r>
          </w:p>
          <w:p w14:paraId="72D6ED38" w14:textId="5D2AFB14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E6FED">
              <w:rPr>
                <w:rStyle w:val="Heading4Char"/>
              </w:rPr>
              <w:t>Objective 1: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 Workforce Boards, Economic Development groups and industry partners’ participation on college advisory groups and ad hoc panels.</w:t>
            </w:r>
          </w:p>
          <w:p w14:paraId="657BCB70" w14:textId="5274BC0E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E6FED">
              <w:rPr>
                <w:rStyle w:val="Heading4Char"/>
              </w:rPr>
              <w:t>Objective 2: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 Collaborate with Workforce Boards and Economic Development groups in planning and development of training programs supporting industry sectors identified in labor market data and industry growth. </w:t>
            </w:r>
          </w:p>
          <w:p w14:paraId="68FB44CF" w14:textId="45099915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115183">
              <w:rPr>
                <w:rStyle w:val="Heading3Char"/>
              </w:rPr>
              <w:t xml:space="preserve">Goal 2: Demonstrate proactive and reactive response to industry training needs. </w:t>
            </w:r>
            <w:r w:rsidRPr="75DB6E0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Responsibility to develop workforce training programs based on industry standards and documented business needs. </w:t>
            </w:r>
          </w:p>
          <w:p w14:paraId="1FE6AF7C" w14:textId="1C37135D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5183">
              <w:rPr>
                <w:rStyle w:val="Heading4Char"/>
              </w:rPr>
              <w:t>Objective 1: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 Develop training programs in response to specific businesses or industry sector needs.</w:t>
            </w:r>
          </w:p>
          <w:p w14:paraId="63757018" w14:textId="0F86AD22" w:rsidR="75DB6E09" w:rsidRDefault="75DB6E09" w:rsidP="75DB6E09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5183">
              <w:rPr>
                <w:rStyle w:val="Heading3Char"/>
              </w:rPr>
              <w:t xml:space="preserve">Goal 3: Demonstrate development of a quality NC workforce prepared to succeed in employment. </w:t>
            </w:r>
            <w:r w:rsidRPr="75DB6E0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Responsibility to develop workforce employability programs to support development of NC talent pool.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859D9D7" w14:textId="5E430E75" w:rsidR="75DB6E09" w:rsidRDefault="75DB6E09" w:rsidP="75DB6E09">
            <w:pPr>
              <w:spacing w:before="120" w:after="120" w:line="240" w:lineRule="auto"/>
              <w:ind w:firstLine="720"/>
              <w:rPr>
                <w:rFonts w:ascii="Calibri" w:eastAsia="Calibri" w:hAnsi="Calibri" w:cs="Calibri"/>
                <w:sz w:val="24"/>
                <w:szCs w:val="24"/>
              </w:rPr>
            </w:pPr>
            <w:r w:rsidRPr="00115183">
              <w:rPr>
                <w:rStyle w:val="Heading4Char"/>
              </w:rPr>
              <w:t xml:space="preserve">Objective 1: 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Develop training programs improving employability of workforce. </w:t>
            </w:r>
          </w:p>
          <w:p w14:paraId="024686D7" w14:textId="76A3B7CC" w:rsidR="75DB6E09" w:rsidRDefault="75DB6E09" w:rsidP="75DB6E09">
            <w:pPr>
              <w:spacing w:before="120" w:after="120" w:line="240" w:lineRule="auto"/>
              <w:ind w:firstLine="720"/>
              <w:rPr>
                <w:rFonts w:ascii="Calibri" w:eastAsia="Calibri" w:hAnsi="Calibri" w:cs="Calibri"/>
                <w:sz w:val="24"/>
                <w:szCs w:val="24"/>
              </w:rPr>
            </w:pPr>
            <w:r w:rsidRPr="00115183">
              <w:rPr>
                <w:rStyle w:val="Heading4Char"/>
              </w:rPr>
              <w:t xml:space="preserve">Objective 2: </w:t>
            </w:r>
            <w:r w:rsidRPr="75DB6E09">
              <w:rPr>
                <w:rFonts w:ascii="Calibri" w:eastAsia="Calibri" w:hAnsi="Calibri" w:cs="Calibri"/>
                <w:sz w:val="24"/>
                <w:szCs w:val="24"/>
              </w:rPr>
              <w:t xml:space="preserve">Collaborate with industry partners to define employability requirements. </w:t>
            </w:r>
          </w:p>
        </w:tc>
      </w:tr>
      <w:tr w:rsidR="75DB6E09" w14:paraId="1BCBAF42" w14:textId="77777777" w:rsidTr="00CD4A16">
        <w:trPr>
          <w:gridBefore w:val="1"/>
          <w:wBefore w:w="90" w:type="dxa"/>
        </w:trPr>
        <w:tc>
          <w:tcPr>
            <w:tcW w:w="9360" w:type="dxa"/>
            <w:gridSpan w:val="2"/>
          </w:tcPr>
          <w:p w14:paraId="69F7DB2A" w14:textId="00C7C503" w:rsidR="75DB6E09" w:rsidRDefault="75DB6E09" w:rsidP="00115183">
            <w:pPr>
              <w:spacing w:before="120" w:after="120" w:line="240" w:lineRule="auto"/>
              <w:ind w:left="-113"/>
              <w:rPr>
                <w:rFonts w:ascii="Calibri" w:eastAsia="Calibri" w:hAnsi="Calibri" w:cs="Calibri"/>
                <w:sz w:val="24"/>
                <w:szCs w:val="24"/>
              </w:rPr>
            </w:pPr>
            <w:r w:rsidRPr="75DB6E0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Pursuant to Board policy, Chapter 900, Policy 903.01, this plan will be followed to ensure that all Continuing Education classes are valid, credible, and accurately reported.</w:t>
            </w:r>
          </w:p>
        </w:tc>
      </w:tr>
    </w:tbl>
    <w:p w14:paraId="52C4BB28" w14:textId="45329C85" w:rsidR="656552DE" w:rsidRDefault="656552DE" w:rsidP="75DB6E09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 w:rsidRPr="00BE6FED">
        <w:rPr>
          <w:rStyle w:val="Heading2Char"/>
        </w:rPr>
        <w:t xml:space="preserve">Owner:  </w:t>
      </w:r>
      <w:r w:rsidRPr="75DB6E09">
        <w:rPr>
          <w:rFonts w:ascii="Calibri" w:eastAsia="Calibri" w:hAnsi="Calibri" w:cs="Calibri"/>
          <w:sz w:val="24"/>
          <w:szCs w:val="24"/>
        </w:rPr>
        <w:t>Vice President, Economic &amp; Workforce Development/Continuing Education</w:t>
      </w:r>
      <w:r w:rsidR="0014602D">
        <w:rPr>
          <w:rFonts w:ascii="Calibri" w:eastAsia="Calibri" w:hAnsi="Calibri" w:cs="Calibri"/>
          <w:sz w:val="24"/>
          <w:szCs w:val="24"/>
        </w:rPr>
        <w:t>, Ext. 7900</w:t>
      </w:r>
    </w:p>
    <w:p w14:paraId="0638053E" w14:textId="639A0725" w:rsidR="75DB6E09" w:rsidRDefault="75DB6E09" w:rsidP="75DB6E09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275CAFF1" w14:textId="5BB5357F" w:rsidR="75DB6E09" w:rsidRDefault="00BE6FED" w:rsidP="75DB6E09">
      <w:pPr>
        <w:spacing w:before="120" w:after="120" w:line="240" w:lineRule="auto"/>
        <w:rPr>
          <w:sz w:val="24"/>
          <w:szCs w:val="24"/>
        </w:rPr>
      </w:pPr>
      <w:r w:rsidRPr="00BE6FED">
        <w:rPr>
          <w:rStyle w:val="Heading2Char"/>
        </w:rPr>
        <w:t>Updated:</w:t>
      </w:r>
      <w:r>
        <w:rPr>
          <w:sz w:val="24"/>
          <w:szCs w:val="24"/>
        </w:rPr>
        <w:t xml:space="preserve">  October 5, 2020</w:t>
      </w:r>
    </w:p>
    <w:sectPr w:rsidR="75DB6E0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BBE3" w14:textId="77777777" w:rsidR="00CC5945" w:rsidRDefault="00CC5945" w:rsidP="00CC5945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CC5945" w:rsidRDefault="00CC5945" w:rsidP="00CC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95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1B20C0F0" w:rsidR="00CC5945" w:rsidRDefault="00CC5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6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05A809" w14:textId="77777777" w:rsidR="00CC5945" w:rsidRDefault="00CC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3D3EC" w14:textId="77777777" w:rsidR="00CC5945" w:rsidRDefault="00CC5945" w:rsidP="00CC5945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CC5945" w:rsidRDefault="00CC5945" w:rsidP="00CC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77D08"/>
    <w:multiLevelType w:val="hybridMultilevel"/>
    <w:tmpl w:val="D7FC7700"/>
    <w:lvl w:ilvl="0" w:tplc="9C3A0CFE">
      <w:start w:val="1"/>
      <w:numFmt w:val="decimal"/>
      <w:lvlText w:val="%1."/>
      <w:lvlJc w:val="left"/>
      <w:pPr>
        <w:ind w:left="720" w:hanging="360"/>
      </w:pPr>
    </w:lvl>
    <w:lvl w:ilvl="1" w:tplc="BF64ECE4">
      <w:start w:val="1"/>
      <w:numFmt w:val="lowerLetter"/>
      <w:lvlText w:val="%2."/>
      <w:lvlJc w:val="left"/>
      <w:pPr>
        <w:ind w:left="1440" w:hanging="360"/>
      </w:pPr>
    </w:lvl>
    <w:lvl w:ilvl="2" w:tplc="6D62B15C">
      <w:start w:val="1"/>
      <w:numFmt w:val="lowerRoman"/>
      <w:lvlText w:val="%3."/>
      <w:lvlJc w:val="right"/>
      <w:pPr>
        <w:ind w:left="2160" w:hanging="180"/>
      </w:pPr>
    </w:lvl>
    <w:lvl w:ilvl="3" w:tplc="CCEC1900">
      <w:start w:val="1"/>
      <w:numFmt w:val="decimal"/>
      <w:lvlText w:val="%4."/>
      <w:lvlJc w:val="left"/>
      <w:pPr>
        <w:ind w:left="2880" w:hanging="360"/>
      </w:pPr>
    </w:lvl>
    <w:lvl w:ilvl="4" w:tplc="55C6E95E">
      <w:start w:val="1"/>
      <w:numFmt w:val="lowerLetter"/>
      <w:lvlText w:val="%5."/>
      <w:lvlJc w:val="left"/>
      <w:pPr>
        <w:ind w:left="3600" w:hanging="360"/>
      </w:pPr>
    </w:lvl>
    <w:lvl w:ilvl="5" w:tplc="5DDC53E4">
      <w:start w:val="1"/>
      <w:numFmt w:val="lowerRoman"/>
      <w:lvlText w:val="%6."/>
      <w:lvlJc w:val="right"/>
      <w:pPr>
        <w:ind w:left="4320" w:hanging="180"/>
      </w:pPr>
    </w:lvl>
    <w:lvl w:ilvl="6" w:tplc="CA16418E">
      <w:start w:val="1"/>
      <w:numFmt w:val="decimal"/>
      <w:lvlText w:val="%7."/>
      <w:lvlJc w:val="left"/>
      <w:pPr>
        <w:ind w:left="5040" w:hanging="360"/>
      </w:pPr>
    </w:lvl>
    <w:lvl w:ilvl="7" w:tplc="39EA287C">
      <w:start w:val="1"/>
      <w:numFmt w:val="lowerLetter"/>
      <w:lvlText w:val="%8."/>
      <w:lvlJc w:val="left"/>
      <w:pPr>
        <w:ind w:left="5760" w:hanging="360"/>
      </w:pPr>
    </w:lvl>
    <w:lvl w:ilvl="8" w:tplc="617093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F6865"/>
    <w:multiLevelType w:val="hybridMultilevel"/>
    <w:tmpl w:val="84D0B4F2"/>
    <w:lvl w:ilvl="0" w:tplc="3ED8332E">
      <w:start w:val="1"/>
      <w:numFmt w:val="decimal"/>
      <w:lvlText w:val="%1."/>
      <w:lvlJc w:val="left"/>
      <w:pPr>
        <w:ind w:left="720" w:hanging="360"/>
      </w:pPr>
    </w:lvl>
    <w:lvl w:ilvl="1" w:tplc="BA9C78EC">
      <w:start w:val="1"/>
      <w:numFmt w:val="lowerLetter"/>
      <w:lvlText w:val="%2."/>
      <w:lvlJc w:val="left"/>
      <w:pPr>
        <w:ind w:left="1440" w:hanging="360"/>
      </w:pPr>
    </w:lvl>
    <w:lvl w:ilvl="2" w:tplc="5240B518">
      <w:start w:val="1"/>
      <w:numFmt w:val="lowerRoman"/>
      <w:lvlText w:val="%3."/>
      <w:lvlJc w:val="right"/>
      <w:pPr>
        <w:ind w:left="2160" w:hanging="180"/>
      </w:pPr>
    </w:lvl>
    <w:lvl w:ilvl="3" w:tplc="DA989DE8">
      <w:start w:val="1"/>
      <w:numFmt w:val="decimal"/>
      <w:lvlText w:val="%4."/>
      <w:lvlJc w:val="left"/>
      <w:pPr>
        <w:ind w:left="2880" w:hanging="360"/>
      </w:pPr>
    </w:lvl>
    <w:lvl w:ilvl="4" w:tplc="599A057A">
      <w:start w:val="1"/>
      <w:numFmt w:val="lowerLetter"/>
      <w:lvlText w:val="%5."/>
      <w:lvlJc w:val="left"/>
      <w:pPr>
        <w:ind w:left="3600" w:hanging="360"/>
      </w:pPr>
    </w:lvl>
    <w:lvl w:ilvl="5" w:tplc="60A075F6">
      <w:start w:val="1"/>
      <w:numFmt w:val="lowerRoman"/>
      <w:lvlText w:val="%6."/>
      <w:lvlJc w:val="right"/>
      <w:pPr>
        <w:ind w:left="4320" w:hanging="180"/>
      </w:pPr>
    </w:lvl>
    <w:lvl w:ilvl="6" w:tplc="025E3B86">
      <w:start w:val="1"/>
      <w:numFmt w:val="decimal"/>
      <w:lvlText w:val="%7."/>
      <w:lvlJc w:val="left"/>
      <w:pPr>
        <w:ind w:left="5040" w:hanging="360"/>
      </w:pPr>
    </w:lvl>
    <w:lvl w:ilvl="7" w:tplc="03AE9148">
      <w:start w:val="1"/>
      <w:numFmt w:val="lowerLetter"/>
      <w:lvlText w:val="%8."/>
      <w:lvlJc w:val="left"/>
      <w:pPr>
        <w:ind w:left="5760" w:hanging="360"/>
      </w:pPr>
    </w:lvl>
    <w:lvl w:ilvl="8" w:tplc="0C80D354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2626">
    <w:abstractNumId w:val="1"/>
  </w:num>
  <w:num w:numId="2" w16cid:durableId="139107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115183"/>
    <w:rsid w:val="0014602D"/>
    <w:rsid w:val="00186E5B"/>
    <w:rsid w:val="006F1627"/>
    <w:rsid w:val="007B6691"/>
    <w:rsid w:val="00913515"/>
    <w:rsid w:val="009A5630"/>
    <w:rsid w:val="00B7282C"/>
    <w:rsid w:val="00BE6FED"/>
    <w:rsid w:val="00C300AF"/>
    <w:rsid w:val="00CC5945"/>
    <w:rsid w:val="00CD4A16"/>
    <w:rsid w:val="00D36D59"/>
    <w:rsid w:val="00DD553E"/>
    <w:rsid w:val="00E52999"/>
    <w:rsid w:val="00F633C9"/>
    <w:rsid w:val="09A4C9DD"/>
    <w:rsid w:val="0B2D7F19"/>
    <w:rsid w:val="0E4F85C1"/>
    <w:rsid w:val="0E56313D"/>
    <w:rsid w:val="26C3C1D5"/>
    <w:rsid w:val="2824F38A"/>
    <w:rsid w:val="33B025ED"/>
    <w:rsid w:val="39534E6B"/>
    <w:rsid w:val="4C650903"/>
    <w:rsid w:val="5EC24D35"/>
    <w:rsid w:val="656552DE"/>
    <w:rsid w:val="6AE81D55"/>
    <w:rsid w:val="75D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7CA7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1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5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C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45"/>
  </w:style>
  <w:style w:type="paragraph" w:styleId="Footer">
    <w:name w:val="footer"/>
    <w:basedOn w:val="Normal"/>
    <w:link w:val="FooterChar"/>
    <w:uiPriority w:val="99"/>
    <w:unhideWhenUsed/>
    <w:rsid w:val="00CC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4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51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518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1035</Value>
      <Value>1036</Value>
    </Procedure>
    <ELT_x0020_Reviewed xmlns="89b78d55-7dab-4c90-aab4-fcde592880c4">9.21.20</ELT_x0020_Reviewed>
    <Former_x0020_Policy_x0020__x0023_ xmlns="89b78d55-7dab-4c90-aab4-fcde592880c4" xsi:nil="true"/>
    <Policy_x0020__x0023_ xmlns="89b78d55-7dab-4c90-aab4-fcde592880c4">903.01</Policy_x0020__x0023_>
    <Chapter xmlns="24095468-7e6a-47f9-99ae-172bfb0b814b">9</Chapter>
    <Approved xmlns="89b78d55-7dab-4c90-aab4-fcde592880c4">10.5.20, 9.15.23</Approve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7D06AB-710F-4F21-A29E-83018FCBD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C6FB3-FDD0-48F1-8226-6EFFD2A28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D58A7-5529-4212-9F1D-2DB8FE5DA6A8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bebb4801-54de-4360-b8be-17d68ad98198"/>
    <ds:schemaRef ds:uri="http://schemas.openxmlformats.org/package/2006/metadata/core-properties"/>
    <ds:schemaRef ds:uri="http://schemas.microsoft.com/office/2006/documentManagement/types"/>
    <ds:schemaRef ds:uri="24095468-7e6a-47f9-99ae-172bfb0b814b"/>
    <ds:schemaRef ds:uri="89b78d55-7dab-4c90-aab4-fcde592880c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474554-4A22-4465-9F1D-19BE77EE9C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Plan for Economic and Workforce Development</dc:title>
  <dc:subject/>
  <dc:creator>Carolyn H Rice</dc:creator>
  <cp:keywords/>
  <dc:description/>
  <cp:lastModifiedBy>Carolyn H. Rice</cp:lastModifiedBy>
  <cp:revision>6</cp:revision>
  <dcterms:created xsi:type="dcterms:W3CDTF">2020-09-21T20:37:00Z</dcterms:created>
  <dcterms:modified xsi:type="dcterms:W3CDTF">2025-02-28T16:36:00Z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Order">
    <vt:r8>13800</vt:r8>
  </property>
</Properties>
</file>